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1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gridCol w:w="6650"/>
        <w:gridCol w:w="2095"/>
      </w:tblGrid>
      <w:tr w:rsidR="00A35229" w:rsidTr="00C66D14">
        <w:trPr>
          <w:trHeight w:val="233"/>
        </w:trPr>
        <w:tc>
          <w:tcPr>
            <w:tcW w:w="2665" w:type="dxa"/>
          </w:tcPr>
          <w:p w:rsidR="006B3CA6" w:rsidRDefault="006B3CA6" w:rsidP="00AD1766">
            <w:r w:rsidRPr="00825512">
              <w:rPr>
                <w:b/>
                <w:szCs w:val="22"/>
              </w:rPr>
              <w:t>Céline YANASIK</w:t>
            </w:r>
          </w:p>
        </w:tc>
        <w:tc>
          <w:tcPr>
            <w:tcW w:w="6650" w:type="dxa"/>
            <w:vMerge w:val="restart"/>
            <w:vAlign w:val="center"/>
          </w:tcPr>
          <w:p w:rsidR="00654B89" w:rsidRPr="00C66D14" w:rsidRDefault="007175C8" w:rsidP="00C66D14">
            <w:pPr>
              <w:pStyle w:val="Sansinterligne"/>
              <w:jc w:val="center"/>
              <w:rPr>
                <w:b/>
                <w:color w:val="31849B" w:themeColor="accent5" w:themeShade="BF"/>
                <w:sz w:val="36"/>
                <w:szCs w:val="36"/>
              </w:rPr>
            </w:pPr>
            <w:r>
              <w:rPr>
                <w:b/>
                <w:color w:val="31849B" w:themeColor="accent5" w:themeShade="BF"/>
                <w:sz w:val="36"/>
                <w:szCs w:val="36"/>
              </w:rPr>
              <w:t>CHARGE</w:t>
            </w:r>
            <w:bookmarkStart w:id="0" w:name="_GoBack"/>
            <w:bookmarkEnd w:id="0"/>
            <w:r w:rsidR="00703A92" w:rsidRPr="00C66D14">
              <w:rPr>
                <w:b/>
                <w:color w:val="31849B" w:themeColor="accent5" w:themeShade="BF"/>
                <w:sz w:val="36"/>
                <w:szCs w:val="36"/>
              </w:rPr>
              <w:t xml:space="preserve"> </w:t>
            </w:r>
            <w:r w:rsidR="00654B89" w:rsidRPr="00C66D14">
              <w:rPr>
                <w:b/>
                <w:color w:val="31849B" w:themeColor="accent5" w:themeShade="BF"/>
                <w:sz w:val="36"/>
                <w:szCs w:val="36"/>
              </w:rPr>
              <w:t>D’ETUDES</w:t>
            </w:r>
          </w:p>
          <w:p w:rsidR="006B3CA6" w:rsidRDefault="00654B89" w:rsidP="00C66D14">
            <w:pPr>
              <w:pStyle w:val="Sansinterligne"/>
              <w:jc w:val="center"/>
            </w:pPr>
            <w:r w:rsidRPr="00C66D14">
              <w:rPr>
                <w:b/>
                <w:color w:val="31849B" w:themeColor="accent5" w:themeShade="BF"/>
                <w:sz w:val="36"/>
                <w:szCs w:val="36"/>
              </w:rPr>
              <w:t>EN ENVIRONNEMENT</w:t>
            </w:r>
          </w:p>
        </w:tc>
        <w:tc>
          <w:tcPr>
            <w:tcW w:w="2095" w:type="dxa"/>
            <w:vMerge w:val="restart"/>
          </w:tcPr>
          <w:p w:rsidR="006B3CA6" w:rsidRDefault="00687FB0" w:rsidP="00AD1766">
            <w:pPr>
              <w:jc w:val="right"/>
            </w:pPr>
            <w:r>
              <w:rPr>
                <w:noProof/>
                <w:lang w:eastAsia="fr-FR"/>
              </w:rPr>
              <w:drawing>
                <wp:inline distT="0" distB="0" distL="0" distR="0">
                  <wp:extent cx="1168482" cy="1301086"/>
                  <wp:effectExtent l="19050" t="0" r="0" b="0"/>
                  <wp:docPr id="3" name="Image 2" descr="FullSizeRender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 (6).jpg"/>
                          <pic:cNvPicPr/>
                        </pic:nvPicPr>
                        <pic:blipFill>
                          <a:blip r:embed="rId6" cstate="print">
                            <a:lum bright="10000"/>
                          </a:blip>
                          <a:stretch>
                            <a:fillRect/>
                          </a:stretch>
                        </pic:blipFill>
                        <pic:spPr>
                          <a:xfrm>
                            <a:off x="0" y="0"/>
                            <a:ext cx="1168482" cy="1301086"/>
                          </a:xfrm>
                          <a:prstGeom prst="rect">
                            <a:avLst/>
                          </a:prstGeom>
                        </pic:spPr>
                      </pic:pic>
                    </a:graphicData>
                  </a:graphic>
                </wp:inline>
              </w:drawing>
            </w:r>
          </w:p>
        </w:tc>
      </w:tr>
      <w:tr w:rsidR="00A35229" w:rsidTr="00377618">
        <w:trPr>
          <w:trHeight w:val="233"/>
        </w:trPr>
        <w:tc>
          <w:tcPr>
            <w:tcW w:w="2665" w:type="dxa"/>
          </w:tcPr>
          <w:p w:rsidR="006B3CA6" w:rsidRDefault="006B3CA6" w:rsidP="00AD1766">
            <w:r w:rsidRPr="00825512">
              <w:rPr>
                <w:szCs w:val="22"/>
              </w:rPr>
              <w:t>5 rue des Etourneaux</w:t>
            </w:r>
          </w:p>
        </w:tc>
        <w:tc>
          <w:tcPr>
            <w:tcW w:w="6650" w:type="dxa"/>
            <w:vMerge/>
          </w:tcPr>
          <w:p w:rsidR="006B3CA6" w:rsidRDefault="006B3CA6" w:rsidP="00AD1766">
            <w:pPr>
              <w:jc w:val="right"/>
            </w:pPr>
          </w:p>
        </w:tc>
        <w:tc>
          <w:tcPr>
            <w:tcW w:w="2095" w:type="dxa"/>
            <w:vMerge/>
          </w:tcPr>
          <w:p w:rsidR="006B3CA6" w:rsidRDefault="006B3CA6" w:rsidP="00AD1766">
            <w:pPr>
              <w:jc w:val="right"/>
            </w:pPr>
          </w:p>
        </w:tc>
      </w:tr>
      <w:tr w:rsidR="00A35229" w:rsidTr="00377618">
        <w:trPr>
          <w:trHeight w:val="216"/>
        </w:trPr>
        <w:tc>
          <w:tcPr>
            <w:tcW w:w="2665" w:type="dxa"/>
          </w:tcPr>
          <w:p w:rsidR="006B3CA6" w:rsidRDefault="006B3CA6" w:rsidP="00AD1766">
            <w:r w:rsidRPr="00825512">
              <w:rPr>
                <w:szCs w:val="22"/>
              </w:rPr>
              <w:t>95610 Eragny-sur-Oise</w:t>
            </w:r>
          </w:p>
        </w:tc>
        <w:tc>
          <w:tcPr>
            <w:tcW w:w="6650" w:type="dxa"/>
            <w:vMerge/>
          </w:tcPr>
          <w:p w:rsidR="006B3CA6" w:rsidRDefault="006B3CA6" w:rsidP="00AD1766">
            <w:pPr>
              <w:jc w:val="right"/>
            </w:pPr>
          </w:p>
        </w:tc>
        <w:tc>
          <w:tcPr>
            <w:tcW w:w="2095" w:type="dxa"/>
            <w:vMerge/>
          </w:tcPr>
          <w:p w:rsidR="006B3CA6" w:rsidRDefault="006B3CA6" w:rsidP="00AD1766">
            <w:pPr>
              <w:jc w:val="right"/>
            </w:pPr>
          </w:p>
        </w:tc>
      </w:tr>
      <w:tr w:rsidR="00A35229" w:rsidTr="00377618">
        <w:trPr>
          <w:trHeight w:val="216"/>
        </w:trPr>
        <w:tc>
          <w:tcPr>
            <w:tcW w:w="2665" w:type="dxa"/>
          </w:tcPr>
          <w:p w:rsidR="006B3CA6" w:rsidRDefault="006B3CA6" w:rsidP="00AD1766">
            <w:r w:rsidRPr="00825512">
              <w:rPr>
                <w:szCs w:val="22"/>
              </w:rPr>
              <w:t>06 59 84 05 16</w:t>
            </w:r>
          </w:p>
        </w:tc>
        <w:tc>
          <w:tcPr>
            <w:tcW w:w="6650" w:type="dxa"/>
            <w:vMerge/>
          </w:tcPr>
          <w:p w:rsidR="006B3CA6" w:rsidRDefault="006B3CA6" w:rsidP="00AD1766">
            <w:pPr>
              <w:jc w:val="right"/>
            </w:pPr>
          </w:p>
        </w:tc>
        <w:tc>
          <w:tcPr>
            <w:tcW w:w="2095" w:type="dxa"/>
            <w:vMerge/>
          </w:tcPr>
          <w:p w:rsidR="006B3CA6" w:rsidRDefault="006B3CA6" w:rsidP="00AD1766">
            <w:pPr>
              <w:jc w:val="right"/>
            </w:pPr>
          </w:p>
        </w:tc>
      </w:tr>
      <w:tr w:rsidR="00A35229" w:rsidTr="00377618">
        <w:trPr>
          <w:trHeight w:val="233"/>
        </w:trPr>
        <w:tc>
          <w:tcPr>
            <w:tcW w:w="2665" w:type="dxa"/>
          </w:tcPr>
          <w:p w:rsidR="006B3CA6" w:rsidRDefault="00894984" w:rsidP="00AD1766">
            <w:hyperlink r:id="rId7" w:history="1">
              <w:r w:rsidR="006B3CA6" w:rsidRPr="00825512">
                <w:rPr>
                  <w:rStyle w:val="Lienhypertexte"/>
                  <w:szCs w:val="22"/>
                </w:rPr>
                <w:t>celine.yanasik@gmail.com</w:t>
              </w:r>
            </w:hyperlink>
          </w:p>
        </w:tc>
        <w:tc>
          <w:tcPr>
            <w:tcW w:w="6650" w:type="dxa"/>
            <w:vMerge/>
          </w:tcPr>
          <w:p w:rsidR="006B3CA6" w:rsidRDefault="006B3CA6" w:rsidP="00AD1766">
            <w:pPr>
              <w:jc w:val="right"/>
            </w:pPr>
          </w:p>
        </w:tc>
        <w:tc>
          <w:tcPr>
            <w:tcW w:w="2095" w:type="dxa"/>
            <w:vMerge/>
          </w:tcPr>
          <w:p w:rsidR="006B3CA6" w:rsidRDefault="006B3CA6" w:rsidP="00AD1766">
            <w:pPr>
              <w:jc w:val="right"/>
            </w:pPr>
          </w:p>
        </w:tc>
      </w:tr>
      <w:tr w:rsidR="00A35229" w:rsidTr="00377618">
        <w:trPr>
          <w:trHeight w:val="216"/>
        </w:trPr>
        <w:tc>
          <w:tcPr>
            <w:tcW w:w="2665" w:type="dxa"/>
          </w:tcPr>
          <w:p w:rsidR="006B3CA6" w:rsidRDefault="006B3CA6" w:rsidP="00AD1766">
            <w:r>
              <w:t>24 ans</w:t>
            </w:r>
          </w:p>
        </w:tc>
        <w:tc>
          <w:tcPr>
            <w:tcW w:w="6650" w:type="dxa"/>
            <w:vMerge/>
          </w:tcPr>
          <w:p w:rsidR="006B3CA6" w:rsidRDefault="006B3CA6" w:rsidP="00AD1766">
            <w:pPr>
              <w:jc w:val="right"/>
            </w:pPr>
          </w:p>
        </w:tc>
        <w:tc>
          <w:tcPr>
            <w:tcW w:w="2095" w:type="dxa"/>
            <w:vMerge/>
          </w:tcPr>
          <w:p w:rsidR="006B3CA6" w:rsidRDefault="006B3CA6" w:rsidP="00AD1766">
            <w:pPr>
              <w:jc w:val="right"/>
            </w:pPr>
          </w:p>
        </w:tc>
      </w:tr>
      <w:tr w:rsidR="00A35229" w:rsidTr="00377618">
        <w:trPr>
          <w:trHeight w:val="216"/>
        </w:trPr>
        <w:tc>
          <w:tcPr>
            <w:tcW w:w="2665" w:type="dxa"/>
          </w:tcPr>
          <w:p w:rsidR="006B3CA6" w:rsidRDefault="006B3CA6" w:rsidP="00AD1766">
            <w:r w:rsidRPr="00825512">
              <w:rPr>
                <w:szCs w:val="22"/>
              </w:rPr>
              <w:t>Permis de conduire B</w:t>
            </w:r>
          </w:p>
        </w:tc>
        <w:tc>
          <w:tcPr>
            <w:tcW w:w="6650" w:type="dxa"/>
            <w:vMerge/>
          </w:tcPr>
          <w:p w:rsidR="006B3CA6" w:rsidRDefault="006B3CA6" w:rsidP="00AD1766">
            <w:pPr>
              <w:jc w:val="right"/>
            </w:pPr>
          </w:p>
        </w:tc>
        <w:tc>
          <w:tcPr>
            <w:tcW w:w="2095" w:type="dxa"/>
            <w:vMerge/>
          </w:tcPr>
          <w:p w:rsidR="006B3CA6" w:rsidRDefault="006B3CA6" w:rsidP="00AD1766">
            <w:pPr>
              <w:jc w:val="right"/>
            </w:pPr>
          </w:p>
        </w:tc>
      </w:tr>
    </w:tbl>
    <w:p w:rsidR="002D36BC" w:rsidRPr="00F4047E" w:rsidRDefault="002D36BC" w:rsidP="002D36BC">
      <w:pPr>
        <w:pStyle w:val="Sansinterligne"/>
        <w:rPr>
          <w:sz w:val="2"/>
          <w:szCs w:val="2"/>
        </w:rPr>
      </w:pPr>
    </w:p>
    <w:p w:rsidR="002D36BC" w:rsidRDefault="002D36BC" w:rsidP="006B3CA6">
      <w:pPr>
        <w:pStyle w:val="Sansinterligne"/>
        <w:ind w:left="2832" w:firstLine="708"/>
      </w:pPr>
      <w:r w:rsidRPr="00660E1D">
        <w:rPr>
          <w:b/>
        </w:rPr>
        <w:t>→</w:t>
      </w:r>
      <w:r>
        <w:t xml:space="preserve"> Spécialisation : Atmosphères Intérieure et Extérieure</w:t>
      </w:r>
    </w:p>
    <w:p w:rsidR="002D36BC" w:rsidRDefault="002D36BC" w:rsidP="006B3CA6">
      <w:pPr>
        <w:pStyle w:val="Sansinterligne"/>
        <w:ind w:left="2832" w:firstLine="708"/>
      </w:pPr>
      <w:r w:rsidRPr="00660E1D">
        <w:rPr>
          <w:b/>
        </w:rPr>
        <w:t>→</w:t>
      </w:r>
      <w:r>
        <w:t xml:space="preserve"> Objectif : Intégration d’une équipe projet</w:t>
      </w:r>
    </w:p>
    <w:p w:rsidR="0078220A" w:rsidRPr="00757EF1" w:rsidRDefault="0078220A" w:rsidP="003A1F28">
      <w:pPr>
        <w:pStyle w:val="Sansinterligne"/>
        <w:ind w:left="2832"/>
        <w:rPr>
          <w:sz w:val="6"/>
          <w:szCs w:val="6"/>
        </w:rPr>
      </w:pPr>
    </w:p>
    <w:tbl>
      <w:tblPr>
        <w:tblStyle w:val="Grilledutableau"/>
        <w:tblW w:w="0" w:type="auto"/>
        <w:tblBorders>
          <w:top w:val="none" w:sz="0" w:space="0" w:color="auto"/>
          <w:left w:val="single" w:sz="24" w:space="0" w:color="92CDDC" w:themeColor="accent5" w:themeTint="99"/>
          <w:bottom w:val="single" w:sz="24" w:space="0" w:color="92CDDC" w:themeColor="accent5" w:themeTint="99"/>
          <w:right w:val="none" w:sz="0" w:space="0" w:color="auto"/>
          <w:insideH w:val="none" w:sz="0" w:space="0" w:color="auto"/>
          <w:insideV w:val="none" w:sz="0" w:space="0" w:color="auto"/>
        </w:tblBorders>
        <w:tblLook w:val="04A0" w:firstRow="1" w:lastRow="0" w:firstColumn="1" w:lastColumn="0" w:noHBand="0" w:noVBand="1"/>
      </w:tblPr>
      <w:tblGrid>
        <w:gridCol w:w="11252"/>
      </w:tblGrid>
      <w:tr w:rsidR="0069718D" w:rsidTr="00ED1623">
        <w:tc>
          <w:tcPr>
            <w:tcW w:w="11252" w:type="dxa"/>
            <w:vAlign w:val="center"/>
          </w:tcPr>
          <w:p w:rsidR="0069718D" w:rsidRPr="00D51686" w:rsidRDefault="0098771B" w:rsidP="00DC4B48">
            <w:pPr>
              <w:pStyle w:val="Sansinterligne"/>
              <w:rPr>
                <w:szCs w:val="22"/>
              </w:rPr>
            </w:pPr>
            <w:r w:rsidRPr="00D51686">
              <w:rPr>
                <w:noProof/>
                <w:szCs w:val="22"/>
                <w:lang w:eastAsia="fr-FR"/>
              </w:rPr>
              <w:drawing>
                <wp:inline distT="0" distB="0" distL="0" distR="0">
                  <wp:extent cx="172336" cy="172336"/>
                  <wp:effectExtent l="19050" t="0" r="0" b="0"/>
                  <wp:docPr id="1" name="Image 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ficher l'image d'origine"/>
                          <pic:cNvPicPr>
                            <a:picLocks noChangeAspect="1" noChangeArrowheads="1"/>
                          </pic:cNvPicPr>
                        </pic:nvPicPr>
                        <pic:blipFill>
                          <a:blip r:embed="rId8" cstate="print"/>
                          <a:srcRect/>
                          <a:stretch>
                            <a:fillRect/>
                          </a:stretch>
                        </pic:blipFill>
                        <pic:spPr bwMode="auto">
                          <a:xfrm>
                            <a:off x="0" y="0"/>
                            <a:ext cx="173455" cy="173455"/>
                          </a:xfrm>
                          <a:prstGeom prst="rect">
                            <a:avLst/>
                          </a:prstGeom>
                          <a:noFill/>
                          <a:ln w="9525">
                            <a:noFill/>
                            <a:miter lim="800000"/>
                            <a:headEnd/>
                            <a:tailEnd/>
                          </a:ln>
                        </pic:spPr>
                      </pic:pic>
                    </a:graphicData>
                  </a:graphic>
                </wp:inline>
              </w:drawing>
            </w:r>
            <w:r w:rsidRPr="00D51686">
              <w:rPr>
                <w:b/>
                <w:szCs w:val="22"/>
              </w:rPr>
              <w:t xml:space="preserve"> EXPERIENCES PROFESSIONNELLES</w:t>
            </w:r>
          </w:p>
        </w:tc>
      </w:tr>
    </w:tbl>
    <w:p w:rsidR="00660E1D" w:rsidRPr="009B4699" w:rsidRDefault="00660E1D" w:rsidP="00AF351B">
      <w:pPr>
        <w:pStyle w:val="Sansinterligne"/>
        <w:rPr>
          <w:sz w:val="16"/>
          <w:szCs w:val="16"/>
        </w:rPr>
      </w:pPr>
    </w:p>
    <w:tbl>
      <w:tblPr>
        <w:tblStyle w:val="Grilledutableau"/>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8"/>
        <w:gridCol w:w="9789"/>
      </w:tblGrid>
      <w:tr w:rsidR="0098771B" w:rsidRPr="003A5762" w:rsidTr="00A35229">
        <w:trPr>
          <w:trHeight w:val="3407"/>
        </w:trPr>
        <w:tc>
          <w:tcPr>
            <w:tcW w:w="1518" w:type="dxa"/>
          </w:tcPr>
          <w:p w:rsidR="0098771B" w:rsidRPr="00D51686" w:rsidRDefault="0098771B" w:rsidP="00836A6E">
            <w:pPr>
              <w:tabs>
                <w:tab w:val="left" w:pos="-284"/>
              </w:tabs>
              <w:rPr>
                <w:b/>
                <w:szCs w:val="22"/>
              </w:rPr>
            </w:pPr>
            <w:r w:rsidRPr="00D51686">
              <w:rPr>
                <w:b/>
                <w:szCs w:val="22"/>
              </w:rPr>
              <w:t>2014-2015</w:t>
            </w:r>
          </w:p>
          <w:p w:rsidR="0098771B" w:rsidRPr="00D51686" w:rsidRDefault="0098771B" w:rsidP="00836A6E">
            <w:pPr>
              <w:tabs>
                <w:tab w:val="left" w:pos="-284"/>
              </w:tabs>
              <w:rPr>
                <w:szCs w:val="22"/>
              </w:rPr>
            </w:pPr>
            <w:r w:rsidRPr="00D51686">
              <w:rPr>
                <w:szCs w:val="22"/>
              </w:rPr>
              <w:t>(11 mois)</w:t>
            </w:r>
          </w:p>
        </w:tc>
        <w:tc>
          <w:tcPr>
            <w:tcW w:w="9789" w:type="dxa"/>
          </w:tcPr>
          <w:p w:rsidR="0098771B" w:rsidRPr="00D51686" w:rsidRDefault="0098771B" w:rsidP="00836A6E">
            <w:pPr>
              <w:tabs>
                <w:tab w:val="left" w:pos="-284"/>
              </w:tabs>
              <w:jc w:val="both"/>
              <w:rPr>
                <w:color w:val="215868" w:themeColor="accent5" w:themeShade="80"/>
                <w:szCs w:val="22"/>
              </w:rPr>
            </w:pPr>
            <w:r w:rsidRPr="00D51686">
              <w:rPr>
                <w:b/>
                <w:color w:val="215868" w:themeColor="accent5" w:themeShade="80"/>
                <w:szCs w:val="22"/>
              </w:rPr>
              <w:t xml:space="preserve">Groupe </w:t>
            </w:r>
            <w:proofErr w:type="spellStart"/>
            <w:r w:rsidRPr="00D51686">
              <w:rPr>
                <w:b/>
                <w:color w:val="215868" w:themeColor="accent5" w:themeShade="80"/>
                <w:szCs w:val="22"/>
              </w:rPr>
              <w:t>Cleaneol</w:t>
            </w:r>
            <w:proofErr w:type="spellEnd"/>
            <w:r w:rsidRPr="00D51686">
              <w:rPr>
                <w:b/>
                <w:color w:val="215868" w:themeColor="accent5" w:themeShade="80"/>
                <w:szCs w:val="22"/>
              </w:rPr>
              <w:t xml:space="preserve"> </w:t>
            </w:r>
            <w:r w:rsidRPr="00D51686">
              <w:rPr>
                <w:color w:val="215868" w:themeColor="accent5" w:themeShade="80"/>
                <w:szCs w:val="22"/>
              </w:rPr>
              <w:t>– Service audit et expertise de la qualité de l’air – Nanterre (92)</w:t>
            </w:r>
          </w:p>
          <w:p w:rsidR="0098771B" w:rsidRPr="00D51686" w:rsidRDefault="0098771B" w:rsidP="009B4699">
            <w:pPr>
              <w:tabs>
                <w:tab w:val="left" w:pos="-284"/>
              </w:tabs>
              <w:spacing w:after="60"/>
              <w:jc w:val="both"/>
              <w:rPr>
                <w:szCs w:val="22"/>
              </w:rPr>
            </w:pPr>
            <w:r w:rsidRPr="00D51686">
              <w:rPr>
                <w:b/>
                <w:szCs w:val="22"/>
              </w:rPr>
              <w:t xml:space="preserve">Ingénieure d’études en qualité de l’air intérieur – </w:t>
            </w:r>
            <w:r w:rsidRPr="00D51686">
              <w:rPr>
                <w:szCs w:val="22"/>
              </w:rPr>
              <w:t>Contrat d’apprentissage</w:t>
            </w:r>
          </w:p>
          <w:p w:rsidR="0098771B" w:rsidRPr="00D51686" w:rsidRDefault="0098771B" w:rsidP="00836A6E">
            <w:pPr>
              <w:tabs>
                <w:tab w:val="left" w:pos="-284"/>
              </w:tabs>
              <w:jc w:val="both"/>
              <w:rPr>
                <w:szCs w:val="22"/>
              </w:rPr>
            </w:pPr>
            <w:r w:rsidRPr="00D51686">
              <w:rPr>
                <w:i/>
                <w:szCs w:val="22"/>
                <w:u w:val="single"/>
              </w:rPr>
              <w:t>Objectif</w:t>
            </w:r>
            <w:r w:rsidRPr="00D51686">
              <w:rPr>
                <w:szCs w:val="22"/>
              </w:rPr>
              <w:t> : Conception et développement du service audit et expertise de la qualité de l’air intérieur des bâtiments tertiaires, basé sur une démarche Haute Qualité Environnementale (HQE), afin de préserver des constructions durables mais aussi de prévenir les risques sur la santé lié à la qualité de l’air intérieur</w:t>
            </w:r>
          </w:p>
          <w:p w:rsidR="0098771B" w:rsidRPr="00D51686" w:rsidRDefault="0098771B" w:rsidP="00836A6E">
            <w:pPr>
              <w:pStyle w:val="Paragraphedeliste"/>
              <w:numPr>
                <w:ilvl w:val="0"/>
                <w:numId w:val="1"/>
              </w:numPr>
              <w:tabs>
                <w:tab w:val="left" w:pos="-284"/>
              </w:tabs>
              <w:jc w:val="both"/>
              <w:rPr>
                <w:szCs w:val="22"/>
              </w:rPr>
            </w:pPr>
            <w:r w:rsidRPr="00D51686">
              <w:rPr>
                <w:szCs w:val="22"/>
              </w:rPr>
              <w:t>Veille technologique et réglementaire sur les méthodes, les outils, les normes</w:t>
            </w:r>
          </w:p>
          <w:p w:rsidR="0098771B" w:rsidRPr="00D51686" w:rsidRDefault="0098771B" w:rsidP="00836A6E">
            <w:pPr>
              <w:pStyle w:val="Paragraphedeliste"/>
              <w:numPr>
                <w:ilvl w:val="0"/>
                <w:numId w:val="1"/>
              </w:numPr>
              <w:tabs>
                <w:tab w:val="left" w:pos="-284"/>
              </w:tabs>
              <w:jc w:val="both"/>
              <w:rPr>
                <w:szCs w:val="22"/>
              </w:rPr>
            </w:pPr>
            <w:r w:rsidRPr="00D51686">
              <w:rPr>
                <w:szCs w:val="22"/>
              </w:rPr>
              <w:t xml:space="preserve">Définition des protocoles, des moyens matériels et des méthodes de prélèvements </w:t>
            </w:r>
          </w:p>
          <w:p w:rsidR="0098771B" w:rsidRPr="00D51686" w:rsidRDefault="0098771B" w:rsidP="00836A6E">
            <w:pPr>
              <w:pStyle w:val="Paragraphedeliste"/>
              <w:numPr>
                <w:ilvl w:val="0"/>
                <w:numId w:val="1"/>
              </w:numPr>
              <w:tabs>
                <w:tab w:val="left" w:pos="-284"/>
              </w:tabs>
              <w:jc w:val="both"/>
              <w:rPr>
                <w:szCs w:val="22"/>
              </w:rPr>
            </w:pPr>
            <w:r w:rsidRPr="00D51686">
              <w:rPr>
                <w:szCs w:val="22"/>
              </w:rPr>
              <w:t>Mise au point d’un cahier des charges</w:t>
            </w:r>
          </w:p>
          <w:p w:rsidR="0098771B" w:rsidRPr="00D51686" w:rsidRDefault="0098771B" w:rsidP="00836A6E">
            <w:pPr>
              <w:pStyle w:val="Paragraphedeliste"/>
              <w:numPr>
                <w:ilvl w:val="0"/>
                <w:numId w:val="1"/>
              </w:numPr>
              <w:tabs>
                <w:tab w:val="left" w:pos="-284"/>
              </w:tabs>
              <w:jc w:val="both"/>
              <w:rPr>
                <w:szCs w:val="22"/>
              </w:rPr>
            </w:pPr>
            <w:r w:rsidRPr="00D51686">
              <w:rPr>
                <w:szCs w:val="22"/>
              </w:rPr>
              <w:t>Participation à l’évaluation budgétaire des études</w:t>
            </w:r>
          </w:p>
          <w:p w:rsidR="0098771B" w:rsidRPr="00D51686" w:rsidRDefault="0098771B" w:rsidP="00836A6E">
            <w:pPr>
              <w:pStyle w:val="Paragraphedeliste"/>
              <w:numPr>
                <w:ilvl w:val="0"/>
                <w:numId w:val="1"/>
              </w:numPr>
              <w:tabs>
                <w:tab w:val="left" w:pos="-284"/>
              </w:tabs>
              <w:jc w:val="both"/>
              <w:rPr>
                <w:szCs w:val="22"/>
              </w:rPr>
            </w:pPr>
            <w:r w:rsidRPr="00D51686">
              <w:rPr>
                <w:szCs w:val="22"/>
              </w:rPr>
              <w:t>Formation technico-commerciale et échanges avec les équipes commerciales</w:t>
            </w:r>
          </w:p>
          <w:p w:rsidR="0098771B" w:rsidRPr="00D51686" w:rsidRDefault="0098771B" w:rsidP="00836A6E">
            <w:pPr>
              <w:pStyle w:val="Paragraphedeliste"/>
              <w:numPr>
                <w:ilvl w:val="0"/>
                <w:numId w:val="1"/>
              </w:numPr>
              <w:tabs>
                <w:tab w:val="left" w:pos="-284"/>
              </w:tabs>
              <w:jc w:val="both"/>
              <w:rPr>
                <w:szCs w:val="22"/>
              </w:rPr>
            </w:pPr>
            <w:r w:rsidRPr="00D51686">
              <w:rPr>
                <w:szCs w:val="22"/>
              </w:rPr>
              <w:t xml:space="preserve">Echantillonnage des polluants sur le terrain avec les équipes techniques </w:t>
            </w:r>
          </w:p>
          <w:p w:rsidR="0098771B" w:rsidRPr="00D51686" w:rsidRDefault="0098771B" w:rsidP="00836A6E">
            <w:pPr>
              <w:pStyle w:val="Paragraphedeliste"/>
              <w:numPr>
                <w:ilvl w:val="0"/>
                <w:numId w:val="1"/>
              </w:numPr>
              <w:tabs>
                <w:tab w:val="left" w:pos="-284"/>
              </w:tabs>
              <w:jc w:val="both"/>
              <w:rPr>
                <w:szCs w:val="22"/>
              </w:rPr>
            </w:pPr>
            <w:r w:rsidRPr="00D51686">
              <w:rPr>
                <w:szCs w:val="22"/>
              </w:rPr>
              <w:t>Synthèse et interprétation des données &amp; rédaction des rapports d’études</w:t>
            </w:r>
          </w:p>
          <w:p w:rsidR="0098771B" w:rsidRPr="00D51686" w:rsidRDefault="0098771B" w:rsidP="00AF100A">
            <w:pPr>
              <w:tabs>
                <w:tab w:val="left" w:pos="-284"/>
              </w:tabs>
              <w:spacing w:after="120"/>
              <w:jc w:val="both"/>
              <w:rPr>
                <w:szCs w:val="22"/>
              </w:rPr>
            </w:pPr>
            <w:r w:rsidRPr="002E6509">
              <w:rPr>
                <w:i/>
                <w:szCs w:val="22"/>
                <w:u w:val="single"/>
              </w:rPr>
              <w:t>Résultats</w:t>
            </w:r>
            <w:r w:rsidRPr="00D51686">
              <w:rPr>
                <w:szCs w:val="22"/>
              </w:rPr>
              <w:t> : Réalisation de 2 études HQE &amp; 6 études de prévention</w:t>
            </w:r>
            <w:r>
              <w:rPr>
                <w:szCs w:val="22"/>
              </w:rPr>
              <w:t>,</w:t>
            </w:r>
            <w:r w:rsidRPr="00D51686">
              <w:rPr>
                <w:szCs w:val="22"/>
              </w:rPr>
              <w:t xml:space="preserve"> représentant 7,2% du CA</w:t>
            </w:r>
          </w:p>
        </w:tc>
      </w:tr>
      <w:tr w:rsidR="00DF1098" w:rsidRPr="003A5762" w:rsidTr="00A35229">
        <w:trPr>
          <w:trHeight w:val="1573"/>
        </w:trPr>
        <w:tc>
          <w:tcPr>
            <w:tcW w:w="1518" w:type="dxa"/>
          </w:tcPr>
          <w:p w:rsidR="00DF1098" w:rsidRDefault="00DF1098" w:rsidP="00836A6E">
            <w:pPr>
              <w:tabs>
                <w:tab w:val="left" w:pos="-284"/>
              </w:tabs>
              <w:rPr>
                <w:b/>
                <w:szCs w:val="22"/>
              </w:rPr>
            </w:pPr>
            <w:r>
              <w:rPr>
                <w:b/>
                <w:szCs w:val="22"/>
              </w:rPr>
              <w:t>2014</w:t>
            </w:r>
          </w:p>
          <w:p w:rsidR="00DF1098" w:rsidRPr="00DF1098" w:rsidRDefault="00DF1098" w:rsidP="00836A6E">
            <w:pPr>
              <w:tabs>
                <w:tab w:val="left" w:pos="-284"/>
              </w:tabs>
              <w:rPr>
                <w:szCs w:val="22"/>
              </w:rPr>
            </w:pPr>
            <w:r w:rsidRPr="00DF1098">
              <w:rPr>
                <w:szCs w:val="22"/>
              </w:rPr>
              <w:t>(1 semaine)</w:t>
            </w:r>
          </w:p>
        </w:tc>
        <w:tc>
          <w:tcPr>
            <w:tcW w:w="9789" w:type="dxa"/>
          </w:tcPr>
          <w:p w:rsidR="00DF1098" w:rsidRDefault="00DF1098" w:rsidP="00836A6E">
            <w:pPr>
              <w:tabs>
                <w:tab w:val="left" w:pos="-284"/>
              </w:tabs>
              <w:jc w:val="both"/>
              <w:rPr>
                <w:b/>
                <w:color w:val="215868" w:themeColor="accent5" w:themeShade="80"/>
                <w:szCs w:val="22"/>
              </w:rPr>
            </w:pPr>
            <w:r>
              <w:rPr>
                <w:b/>
                <w:color w:val="215868" w:themeColor="accent5" w:themeShade="80"/>
                <w:szCs w:val="22"/>
              </w:rPr>
              <w:t>Université Paris Diderot</w:t>
            </w:r>
          </w:p>
          <w:p w:rsidR="00BD5EBA" w:rsidRDefault="00BD5EBA" w:rsidP="00BD5EBA">
            <w:pPr>
              <w:tabs>
                <w:tab w:val="left" w:pos="-284"/>
              </w:tabs>
              <w:spacing w:after="60"/>
              <w:jc w:val="both"/>
              <w:rPr>
                <w:szCs w:val="22"/>
              </w:rPr>
            </w:pPr>
            <w:r w:rsidRPr="00BD5EBA">
              <w:rPr>
                <w:b/>
                <w:szCs w:val="22"/>
              </w:rPr>
              <w:t xml:space="preserve">Métrologie dans les milieux naturels et altérés par l’activité humaine – </w:t>
            </w:r>
            <w:r w:rsidRPr="00BD5EBA">
              <w:rPr>
                <w:szCs w:val="22"/>
              </w:rPr>
              <w:t>Stage de terrain à Martigues (13)</w:t>
            </w:r>
          </w:p>
          <w:p w:rsidR="00BD5EBA" w:rsidRDefault="00BD5EBA" w:rsidP="00BD5EBA">
            <w:pPr>
              <w:tabs>
                <w:tab w:val="left" w:pos="-284"/>
              </w:tabs>
              <w:spacing w:after="60"/>
              <w:jc w:val="both"/>
              <w:rPr>
                <w:szCs w:val="22"/>
              </w:rPr>
            </w:pPr>
            <w:r w:rsidRPr="002E6509">
              <w:rPr>
                <w:i/>
                <w:szCs w:val="22"/>
                <w:u w:val="single"/>
              </w:rPr>
              <w:t>Objectif</w:t>
            </w:r>
            <w:r w:rsidRPr="00BD5EBA">
              <w:rPr>
                <w:szCs w:val="22"/>
              </w:rPr>
              <w:t> : Etudier sur le terrain les phénomènes naturels et anthropiques impactant l’eau, l’air, le sol</w:t>
            </w:r>
          </w:p>
          <w:p w:rsidR="00BD5EBA" w:rsidRDefault="00AF100A" w:rsidP="00BD5EBA">
            <w:pPr>
              <w:pStyle w:val="Paragraphedeliste"/>
              <w:numPr>
                <w:ilvl w:val="0"/>
                <w:numId w:val="4"/>
              </w:numPr>
              <w:tabs>
                <w:tab w:val="left" w:pos="-284"/>
              </w:tabs>
              <w:spacing w:after="60"/>
              <w:jc w:val="both"/>
              <w:rPr>
                <w:szCs w:val="22"/>
              </w:rPr>
            </w:pPr>
            <w:r>
              <w:rPr>
                <w:szCs w:val="22"/>
              </w:rPr>
              <w:t xml:space="preserve">Définition </w:t>
            </w:r>
            <w:r w:rsidR="00F4047E" w:rsidRPr="00F4047E">
              <w:rPr>
                <w:szCs w:val="22"/>
              </w:rPr>
              <w:t>de</w:t>
            </w:r>
            <w:r>
              <w:rPr>
                <w:szCs w:val="22"/>
              </w:rPr>
              <w:t>s</w:t>
            </w:r>
            <w:r w:rsidR="00F4047E" w:rsidRPr="00F4047E">
              <w:rPr>
                <w:szCs w:val="22"/>
              </w:rPr>
              <w:t xml:space="preserve"> prélèvements, </w:t>
            </w:r>
            <w:r>
              <w:rPr>
                <w:szCs w:val="22"/>
              </w:rPr>
              <w:t xml:space="preserve">des protocoles </w:t>
            </w:r>
            <w:r w:rsidR="00F4047E" w:rsidRPr="00F4047E">
              <w:rPr>
                <w:szCs w:val="22"/>
              </w:rPr>
              <w:t>d’analyses physico-chimiques et microbiologiques</w:t>
            </w:r>
          </w:p>
          <w:p w:rsidR="00BD5EBA" w:rsidRPr="00F4047E" w:rsidRDefault="000F7C41" w:rsidP="00AF100A">
            <w:pPr>
              <w:pStyle w:val="Paragraphedeliste"/>
              <w:numPr>
                <w:ilvl w:val="0"/>
                <w:numId w:val="4"/>
              </w:numPr>
              <w:tabs>
                <w:tab w:val="left" w:pos="-284"/>
              </w:tabs>
              <w:spacing w:after="120"/>
              <w:jc w:val="both"/>
              <w:rPr>
                <w:szCs w:val="22"/>
              </w:rPr>
            </w:pPr>
            <w:r>
              <w:rPr>
                <w:szCs w:val="22"/>
              </w:rPr>
              <w:t>Analyses en laboratoire</w:t>
            </w:r>
            <w:r w:rsidR="00F4047E" w:rsidRPr="00F4047E">
              <w:rPr>
                <w:szCs w:val="22"/>
              </w:rPr>
              <w:t xml:space="preserve"> et exploitation des résultats</w:t>
            </w:r>
          </w:p>
        </w:tc>
      </w:tr>
      <w:tr w:rsidR="0098771B" w:rsidRPr="003A5762" w:rsidTr="00A35229">
        <w:trPr>
          <w:trHeight w:val="1537"/>
        </w:trPr>
        <w:tc>
          <w:tcPr>
            <w:tcW w:w="1518" w:type="dxa"/>
          </w:tcPr>
          <w:p w:rsidR="0098771B" w:rsidRPr="00D51686" w:rsidRDefault="0098771B" w:rsidP="00836A6E">
            <w:pPr>
              <w:tabs>
                <w:tab w:val="left" w:pos="-284"/>
              </w:tabs>
              <w:rPr>
                <w:b/>
                <w:szCs w:val="22"/>
              </w:rPr>
            </w:pPr>
            <w:r w:rsidRPr="00D51686">
              <w:rPr>
                <w:b/>
                <w:szCs w:val="22"/>
              </w:rPr>
              <w:t>2013</w:t>
            </w:r>
          </w:p>
          <w:p w:rsidR="0098771B" w:rsidRPr="00D51686" w:rsidRDefault="0098771B" w:rsidP="00836A6E">
            <w:pPr>
              <w:tabs>
                <w:tab w:val="left" w:pos="-284"/>
              </w:tabs>
              <w:rPr>
                <w:szCs w:val="22"/>
              </w:rPr>
            </w:pPr>
            <w:r w:rsidRPr="00D51686">
              <w:rPr>
                <w:szCs w:val="22"/>
              </w:rPr>
              <w:t>(2 mois)</w:t>
            </w:r>
          </w:p>
        </w:tc>
        <w:tc>
          <w:tcPr>
            <w:tcW w:w="9789" w:type="dxa"/>
          </w:tcPr>
          <w:p w:rsidR="0098771B" w:rsidRPr="00D51686" w:rsidRDefault="0098771B" w:rsidP="00836A6E">
            <w:pPr>
              <w:tabs>
                <w:tab w:val="left" w:pos="-284"/>
              </w:tabs>
              <w:jc w:val="both"/>
              <w:rPr>
                <w:color w:val="215868" w:themeColor="accent5" w:themeShade="80"/>
                <w:szCs w:val="22"/>
              </w:rPr>
            </w:pPr>
            <w:r w:rsidRPr="00D51686">
              <w:rPr>
                <w:b/>
                <w:color w:val="215868" w:themeColor="accent5" w:themeShade="80"/>
                <w:szCs w:val="22"/>
              </w:rPr>
              <w:t>Hôpital Lariboisière</w:t>
            </w:r>
            <w:r w:rsidRPr="00D51686">
              <w:rPr>
                <w:b/>
                <w:szCs w:val="22"/>
              </w:rPr>
              <w:t xml:space="preserve"> </w:t>
            </w:r>
            <w:r w:rsidRPr="00D51686">
              <w:rPr>
                <w:color w:val="215868" w:themeColor="accent5" w:themeShade="80"/>
                <w:szCs w:val="22"/>
              </w:rPr>
              <w:t>– Laboratoire de bactériologie, virologie, hygiène – Paris (10ème)</w:t>
            </w:r>
          </w:p>
          <w:p w:rsidR="0098771B" w:rsidRPr="00D51686" w:rsidRDefault="0098771B" w:rsidP="009B4699">
            <w:pPr>
              <w:tabs>
                <w:tab w:val="left" w:pos="-284"/>
              </w:tabs>
              <w:spacing w:after="60"/>
              <w:jc w:val="both"/>
              <w:rPr>
                <w:szCs w:val="22"/>
              </w:rPr>
            </w:pPr>
            <w:r w:rsidRPr="00D51686">
              <w:rPr>
                <w:b/>
                <w:szCs w:val="22"/>
              </w:rPr>
              <w:t xml:space="preserve">Technicienne de laboratoire en examen bactériologique – </w:t>
            </w:r>
            <w:r w:rsidRPr="00D51686">
              <w:rPr>
                <w:szCs w:val="22"/>
              </w:rPr>
              <w:t>Stage de fin d’études de licence</w:t>
            </w:r>
          </w:p>
          <w:p w:rsidR="0098771B" w:rsidRPr="00D51686" w:rsidRDefault="0098771B" w:rsidP="00836A6E">
            <w:pPr>
              <w:tabs>
                <w:tab w:val="left" w:pos="-284"/>
              </w:tabs>
              <w:jc w:val="both"/>
              <w:rPr>
                <w:szCs w:val="22"/>
              </w:rPr>
            </w:pPr>
            <w:r w:rsidRPr="002E6509">
              <w:rPr>
                <w:i/>
                <w:szCs w:val="22"/>
                <w:u w:val="single"/>
              </w:rPr>
              <w:t>Objectif</w:t>
            </w:r>
            <w:r w:rsidRPr="00D51686">
              <w:rPr>
                <w:szCs w:val="22"/>
              </w:rPr>
              <w:t> : Préparation à l’accréditation des laboratoires de biologie médicale selon la norme ISO 15189</w:t>
            </w:r>
          </w:p>
          <w:p w:rsidR="0098771B" w:rsidRPr="00D51686" w:rsidRDefault="0098771B" w:rsidP="00836A6E">
            <w:pPr>
              <w:pStyle w:val="Paragraphedeliste"/>
              <w:numPr>
                <w:ilvl w:val="0"/>
                <w:numId w:val="2"/>
              </w:numPr>
              <w:tabs>
                <w:tab w:val="left" w:pos="-284"/>
              </w:tabs>
              <w:jc w:val="both"/>
              <w:rPr>
                <w:szCs w:val="22"/>
              </w:rPr>
            </w:pPr>
            <w:r w:rsidRPr="00D51686">
              <w:rPr>
                <w:szCs w:val="22"/>
              </w:rPr>
              <w:t>Coloration Gram, comptage cellulaire par microscopie optique, isolement sur milieux sélectifs</w:t>
            </w:r>
          </w:p>
          <w:p w:rsidR="0098771B" w:rsidRPr="00D51686" w:rsidRDefault="0098771B" w:rsidP="00836A6E">
            <w:pPr>
              <w:pStyle w:val="Paragraphedeliste"/>
              <w:numPr>
                <w:ilvl w:val="0"/>
                <w:numId w:val="2"/>
              </w:numPr>
              <w:tabs>
                <w:tab w:val="left" w:pos="-284"/>
              </w:tabs>
              <w:jc w:val="both"/>
              <w:rPr>
                <w:szCs w:val="22"/>
              </w:rPr>
            </w:pPr>
            <w:r w:rsidRPr="00D51686">
              <w:rPr>
                <w:szCs w:val="22"/>
              </w:rPr>
              <w:t>Gestion, rangement et archivage des échantillons d’intérêts</w:t>
            </w:r>
          </w:p>
          <w:p w:rsidR="0098771B" w:rsidRPr="00D51686" w:rsidRDefault="0098771B" w:rsidP="00694AC9">
            <w:pPr>
              <w:tabs>
                <w:tab w:val="left" w:pos="-284"/>
              </w:tabs>
              <w:jc w:val="both"/>
              <w:rPr>
                <w:szCs w:val="22"/>
              </w:rPr>
            </w:pPr>
            <w:r w:rsidRPr="002E6509">
              <w:rPr>
                <w:i/>
                <w:szCs w:val="22"/>
                <w:u w:val="single"/>
              </w:rPr>
              <w:t>Résultats</w:t>
            </w:r>
            <w:r w:rsidRPr="00D51686">
              <w:rPr>
                <w:szCs w:val="22"/>
              </w:rPr>
              <w:t> : Création d’une base de données permettant l’évaluation des compétences du personnel</w:t>
            </w:r>
          </w:p>
        </w:tc>
      </w:tr>
    </w:tbl>
    <w:p w:rsidR="0069718D" w:rsidRPr="0096537C" w:rsidRDefault="0069718D" w:rsidP="00AF351B">
      <w:pPr>
        <w:pStyle w:val="Sansinterligne"/>
        <w:rPr>
          <w:sz w:val="10"/>
          <w:szCs w:val="10"/>
        </w:rPr>
      </w:pPr>
    </w:p>
    <w:tbl>
      <w:tblPr>
        <w:tblStyle w:val="Grilledutableau"/>
        <w:tblW w:w="0" w:type="auto"/>
        <w:tblBorders>
          <w:top w:val="none" w:sz="0" w:space="0" w:color="auto"/>
          <w:left w:val="single" w:sz="24" w:space="0" w:color="92CDDC" w:themeColor="accent5" w:themeTint="99"/>
          <w:bottom w:val="single" w:sz="24" w:space="0" w:color="92CDDC" w:themeColor="accent5" w:themeTint="99"/>
          <w:right w:val="none" w:sz="0" w:space="0" w:color="auto"/>
          <w:insideH w:val="none" w:sz="0" w:space="0" w:color="auto"/>
          <w:insideV w:val="none" w:sz="0" w:space="0" w:color="auto"/>
        </w:tblBorders>
        <w:tblLook w:val="04A0" w:firstRow="1" w:lastRow="0" w:firstColumn="1" w:lastColumn="0" w:noHBand="0" w:noVBand="1"/>
      </w:tblPr>
      <w:tblGrid>
        <w:gridCol w:w="11252"/>
      </w:tblGrid>
      <w:tr w:rsidR="00EC56CA" w:rsidTr="00ED1623">
        <w:tc>
          <w:tcPr>
            <w:tcW w:w="11252" w:type="dxa"/>
            <w:vAlign w:val="center"/>
          </w:tcPr>
          <w:p w:rsidR="00EC56CA" w:rsidRPr="00D51686" w:rsidRDefault="0098771B" w:rsidP="00ED1623">
            <w:pPr>
              <w:pStyle w:val="Sansinterligne"/>
              <w:rPr>
                <w:szCs w:val="22"/>
              </w:rPr>
            </w:pPr>
            <w:r w:rsidRPr="00D51686">
              <w:rPr>
                <w:noProof/>
                <w:szCs w:val="22"/>
                <w:lang w:eastAsia="fr-FR"/>
              </w:rPr>
              <w:drawing>
                <wp:inline distT="0" distB="0" distL="0" distR="0">
                  <wp:extent cx="225499" cy="225499"/>
                  <wp:effectExtent l="19050" t="0" r="3101" b="0"/>
                  <wp:docPr id="2" name="Image 16"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fficher l'image d'origine"/>
                          <pic:cNvPicPr>
                            <a:picLocks noChangeAspect="1" noChangeArrowheads="1"/>
                          </pic:cNvPicPr>
                        </pic:nvPicPr>
                        <pic:blipFill>
                          <a:blip r:embed="rId9" cstate="print"/>
                          <a:srcRect/>
                          <a:stretch>
                            <a:fillRect/>
                          </a:stretch>
                        </pic:blipFill>
                        <pic:spPr bwMode="auto">
                          <a:xfrm>
                            <a:off x="0" y="0"/>
                            <a:ext cx="247976" cy="247976"/>
                          </a:xfrm>
                          <a:prstGeom prst="rect">
                            <a:avLst/>
                          </a:prstGeom>
                          <a:noFill/>
                          <a:ln w="9525">
                            <a:noFill/>
                            <a:miter lim="800000"/>
                            <a:headEnd/>
                            <a:tailEnd/>
                          </a:ln>
                        </pic:spPr>
                      </pic:pic>
                    </a:graphicData>
                  </a:graphic>
                </wp:inline>
              </w:drawing>
            </w:r>
            <w:r>
              <w:rPr>
                <w:b/>
                <w:szCs w:val="22"/>
              </w:rPr>
              <w:t xml:space="preserve"> </w:t>
            </w:r>
            <w:r w:rsidRPr="00D51686">
              <w:rPr>
                <w:b/>
                <w:szCs w:val="22"/>
              </w:rPr>
              <w:t>FORMATIONS</w:t>
            </w:r>
          </w:p>
        </w:tc>
      </w:tr>
    </w:tbl>
    <w:p w:rsidR="00EC56CA" w:rsidRPr="009B4699" w:rsidRDefault="00EC56CA" w:rsidP="00AF351B">
      <w:pPr>
        <w:pStyle w:val="Sansinterligne"/>
        <w:rPr>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9726"/>
      </w:tblGrid>
      <w:tr w:rsidR="0030359E" w:rsidTr="0030359E">
        <w:tc>
          <w:tcPr>
            <w:tcW w:w="1526" w:type="dxa"/>
          </w:tcPr>
          <w:p w:rsidR="0030359E" w:rsidRPr="00EC56CA" w:rsidRDefault="0030359E" w:rsidP="00836A6E">
            <w:pPr>
              <w:pStyle w:val="Sansinterligne"/>
              <w:rPr>
                <w:b/>
              </w:rPr>
            </w:pPr>
            <w:r w:rsidRPr="00EC56CA">
              <w:rPr>
                <w:b/>
              </w:rPr>
              <w:t>2015</w:t>
            </w:r>
          </w:p>
        </w:tc>
        <w:tc>
          <w:tcPr>
            <w:tcW w:w="9726" w:type="dxa"/>
          </w:tcPr>
          <w:p w:rsidR="0030359E" w:rsidRPr="00EC56CA" w:rsidRDefault="0030359E" w:rsidP="00836A6E">
            <w:pPr>
              <w:tabs>
                <w:tab w:val="left" w:pos="-284"/>
              </w:tabs>
              <w:spacing w:after="60"/>
              <w:jc w:val="both"/>
              <w:rPr>
                <w:rFonts w:eastAsia="Calibri" w:cs="Times New Roman"/>
                <w:color w:val="000000"/>
                <w:szCs w:val="22"/>
              </w:rPr>
            </w:pPr>
            <w:r w:rsidRPr="00EC56CA">
              <w:rPr>
                <w:rFonts w:eastAsia="Calibri" w:cs="Times New Roman"/>
                <w:b/>
                <w:bCs/>
                <w:szCs w:val="22"/>
              </w:rPr>
              <w:t>Master 2 Sciences et Génie de l’Environnement (SGE) - Spécialité Atmosphères Intérieure et Extérieure</w:t>
            </w:r>
            <w:r w:rsidRPr="00EC56CA">
              <w:rPr>
                <w:rFonts w:eastAsia="Calibri" w:cs="Times New Roman"/>
                <w:bCs/>
                <w:szCs w:val="22"/>
              </w:rPr>
              <w:t xml:space="preserve"> Université Paris Diderot – (13ème) en partenariat avec l’Ecole Nationale des Ponts et Chaussées - (77) et</w:t>
            </w:r>
            <w:r w:rsidRPr="00EC56CA">
              <w:rPr>
                <w:rFonts w:eastAsia="Calibri" w:cs="Times New Roman"/>
                <w:color w:val="000000"/>
                <w:szCs w:val="22"/>
              </w:rPr>
              <w:t xml:space="preserve"> l’Université Paris Est Créteil - Créteil (94)</w:t>
            </w:r>
          </w:p>
        </w:tc>
      </w:tr>
      <w:tr w:rsidR="0030359E" w:rsidTr="0030359E">
        <w:tc>
          <w:tcPr>
            <w:tcW w:w="1526" w:type="dxa"/>
          </w:tcPr>
          <w:p w:rsidR="0030359E" w:rsidRPr="00EC56CA" w:rsidRDefault="0030359E" w:rsidP="00836A6E">
            <w:pPr>
              <w:pStyle w:val="Sansinterligne"/>
              <w:rPr>
                <w:b/>
              </w:rPr>
            </w:pPr>
            <w:r>
              <w:rPr>
                <w:b/>
              </w:rPr>
              <w:t>2010-</w:t>
            </w:r>
            <w:r w:rsidRPr="00EC56CA">
              <w:rPr>
                <w:b/>
              </w:rPr>
              <w:t>2013</w:t>
            </w:r>
          </w:p>
        </w:tc>
        <w:tc>
          <w:tcPr>
            <w:tcW w:w="9726" w:type="dxa"/>
          </w:tcPr>
          <w:p w:rsidR="0030359E" w:rsidRPr="00EC56CA" w:rsidRDefault="0030359E" w:rsidP="00836A6E">
            <w:pPr>
              <w:pStyle w:val="Sansinterligne"/>
              <w:rPr>
                <w:rFonts w:eastAsia="Calibri" w:cs="Times New Roman"/>
                <w:b/>
                <w:color w:val="000000"/>
                <w:szCs w:val="22"/>
              </w:rPr>
            </w:pPr>
            <w:r w:rsidRPr="00EC56CA">
              <w:rPr>
                <w:rFonts w:eastAsia="Calibri" w:cs="Times New Roman"/>
                <w:b/>
                <w:color w:val="000000"/>
                <w:szCs w:val="22"/>
              </w:rPr>
              <w:t>Licence de Chimie et Biologie en faculté des sciences et technologies</w:t>
            </w:r>
          </w:p>
          <w:p w:rsidR="0030359E" w:rsidRPr="00EC56CA" w:rsidRDefault="0030359E" w:rsidP="00836A6E">
            <w:pPr>
              <w:pStyle w:val="Sansinterligne"/>
              <w:spacing w:after="60"/>
              <w:rPr>
                <w:szCs w:val="22"/>
              </w:rPr>
            </w:pPr>
            <w:r w:rsidRPr="00EC56CA">
              <w:rPr>
                <w:rFonts w:eastAsia="Calibri" w:cs="Times New Roman"/>
                <w:color w:val="000000"/>
                <w:szCs w:val="22"/>
              </w:rPr>
              <w:t>Université Paris Est Créteil - Créteil (94)</w:t>
            </w:r>
          </w:p>
        </w:tc>
      </w:tr>
      <w:tr w:rsidR="0030359E" w:rsidTr="0030359E">
        <w:tc>
          <w:tcPr>
            <w:tcW w:w="1526" w:type="dxa"/>
          </w:tcPr>
          <w:p w:rsidR="0030359E" w:rsidRPr="00EC56CA" w:rsidRDefault="0030359E" w:rsidP="00836A6E">
            <w:pPr>
              <w:pStyle w:val="Sansinterligne"/>
              <w:rPr>
                <w:b/>
              </w:rPr>
            </w:pPr>
            <w:r w:rsidRPr="00EC56CA">
              <w:rPr>
                <w:b/>
              </w:rPr>
              <w:t>2010</w:t>
            </w:r>
          </w:p>
        </w:tc>
        <w:tc>
          <w:tcPr>
            <w:tcW w:w="9726" w:type="dxa"/>
          </w:tcPr>
          <w:p w:rsidR="0030359E" w:rsidRPr="00EC56CA" w:rsidRDefault="0030359E" w:rsidP="00836A6E">
            <w:pPr>
              <w:pStyle w:val="Sansinterligne"/>
              <w:rPr>
                <w:b/>
                <w:szCs w:val="22"/>
              </w:rPr>
            </w:pPr>
            <w:r w:rsidRPr="00EC56CA">
              <w:rPr>
                <w:b/>
                <w:szCs w:val="22"/>
              </w:rPr>
              <w:t>Baccalauréat Général Scientifique</w:t>
            </w:r>
          </w:p>
          <w:p w:rsidR="0030359E" w:rsidRPr="00EC56CA" w:rsidRDefault="0030359E" w:rsidP="00836A6E">
            <w:pPr>
              <w:pStyle w:val="Sansinterligne"/>
              <w:rPr>
                <w:szCs w:val="22"/>
              </w:rPr>
            </w:pPr>
            <w:r w:rsidRPr="00EC56CA">
              <w:rPr>
                <w:szCs w:val="22"/>
              </w:rPr>
              <w:t>Lycée Jacques Feyder – Epinay sur Seine (93)</w:t>
            </w:r>
          </w:p>
        </w:tc>
      </w:tr>
    </w:tbl>
    <w:p w:rsidR="0030359E" w:rsidRPr="0096537C" w:rsidRDefault="0030359E" w:rsidP="00AF351B">
      <w:pPr>
        <w:pStyle w:val="Sansinterligne"/>
        <w:rPr>
          <w:sz w:val="10"/>
          <w:szCs w:val="10"/>
        </w:rPr>
      </w:pPr>
    </w:p>
    <w:tbl>
      <w:tblPr>
        <w:tblStyle w:val="Grilledutableau"/>
        <w:tblW w:w="0" w:type="auto"/>
        <w:tblBorders>
          <w:top w:val="none" w:sz="0" w:space="0" w:color="auto"/>
          <w:left w:val="single" w:sz="24" w:space="0" w:color="92CDDC" w:themeColor="accent5" w:themeTint="99"/>
          <w:bottom w:val="single" w:sz="24" w:space="0" w:color="92CDDC" w:themeColor="accent5" w:themeTint="99"/>
          <w:right w:val="none" w:sz="0" w:space="0" w:color="auto"/>
          <w:insideH w:val="none" w:sz="0" w:space="0" w:color="auto"/>
          <w:insideV w:val="none" w:sz="0" w:space="0" w:color="auto"/>
        </w:tblBorders>
        <w:tblLook w:val="04A0" w:firstRow="1" w:lastRow="0" w:firstColumn="1" w:lastColumn="0" w:noHBand="0" w:noVBand="1"/>
      </w:tblPr>
      <w:tblGrid>
        <w:gridCol w:w="11252"/>
      </w:tblGrid>
      <w:tr w:rsidR="00817A1B" w:rsidTr="00ED1623">
        <w:tc>
          <w:tcPr>
            <w:tcW w:w="11252" w:type="dxa"/>
            <w:vAlign w:val="center"/>
          </w:tcPr>
          <w:p w:rsidR="00817A1B" w:rsidRPr="00817A1B" w:rsidRDefault="00817A1B" w:rsidP="00ED1623">
            <w:pPr>
              <w:pStyle w:val="Sansinterligne"/>
              <w:rPr>
                <w:szCs w:val="22"/>
              </w:rPr>
            </w:pPr>
            <w:r w:rsidRPr="00817A1B">
              <w:rPr>
                <w:noProof/>
                <w:szCs w:val="22"/>
                <w:lang w:eastAsia="fr-FR"/>
              </w:rPr>
              <w:drawing>
                <wp:inline distT="0" distB="0" distL="0" distR="0">
                  <wp:extent cx="242009" cy="242009"/>
                  <wp:effectExtent l="0" t="0" r="0" b="0"/>
                  <wp:docPr id="12"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10" cstate="print"/>
                          <a:stretch>
                            <a:fillRect/>
                          </a:stretch>
                        </pic:blipFill>
                        <pic:spPr bwMode="auto">
                          <a:xfrm>
                            <a:off x="0" y="0"/>
                            <a:ext cx="240158" cy="240158"/>
                          </a:xfrm>
                          <a:prstGeom prst="rect">
                            <a:avLst/>
                          </a:prstGeom>
                          <a:noFill/>
                          <a:ln>
                            <a:noFill/>
                          </a:ln>
                        </pic:spPr>
                      </pic:pic>
                    </a:graphicData>
                  </a:graphic>
                </wp:inline>
              </w:drawing>
            </w:r>
            <w:r w:rsidRPr="00817A1B">
              <w:rPr>
                <w:b/>
                <w:szCs w:val="22"/>
              </w:rPr>
              <w:t xml:space="preserve">COMPETENCES </w:t>
            </w:r>
            <w:r>
              <w:rPr>
                <w:b/>
                <w:szCs w:val="22"/>
              </w:rPr>
              <w:t>LINGUISTIQUES ET INFORMATIQUES</w:t>
            </w:r>
          </w:p>
        </w:tc>
      </w:tr>
    </w:tbl>
    <w:p w:rsidR="00817A1B" w:rsidRPr="009B4699" w:rsidRDefault="00817A1B" w:rsidP="00AF351B">
      <w:pPr>
        <w:pStyle w:val="Sansinterligne"/>
        <w:rPr>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544"/>
        <w:gridCol w:w="1276"/>
        <w:gridCol w:w="4065"/>
      </w:tblGrid>
      <w:tr w:rsidR="00BE438B" w:rsidRPr="00AE19A3" w:rsidTr="006D084F">
        <w:trPr>
          <w:trHeight w:val="298"/>
        </w:trPr>
        <w:tc>
          <w:tcPr>
            <w:tcW w:w="2376" w:type="dxa"/>
            <w:vMerge w:val="restart"/>
            <w:vAlign w:val="bottom"/>
          </w:tcPr>
          <w:p w:rsidR="00AE19A3" w:rsidRPr="003A1F28" w:rsidRDefault="00AE19A3" w:rsidP="00BE438B">
            <w:pPr>
              <w:pStyle w:val="Sansinterligne"/>
              <w:jc w:val="center"/>
              <w:rPr>
                <w:i/>
              </w:rPr>
            </w:pPr>
            <w:r w:rsidRPr="003A1F28">
              <w:rPr>
                <w:i/>
              </w:rPr>
              <w:t>LANGUES ETRANGERES</w:t>
            </w:r>
          </w:p>
          <w:p w:rsidR="00AE19A3" w:rsidRPr="003A1F28" w:rsidRDefault="00AE19A3" w:rsidP="00BE438B">
            <w:pPr>
              <w:pStyle w:val="Sansinterligne"/>
              <w:jc w:val="center"/>
              <w:rPr>
                <w:i/>
              </w:rPr>
            </w:pPr>
          </w:p>
        </w:tc>
        <w:tc>
          <w:tcPr>
            <w:tcW w:w="3544" w:type="dxa"/>
          </w:tcPr>
          <w:p w:rsidR="00AE19A3" w:rsidRPr="00AE19A3" w:rsidRDefault="00AE19A3" w:rsidP="00694AC9">
            <w:pPr>
              <w:pStyle w:val="Sansinterligne"/>
            </w:pPr>
            <w:r>
              <w:t>Anglais : Bon niveau</w:t>
            </w:r>
          </w:p>
        </w:tc>
        <w:tc>
          <w:tcPr>
            <w:tcW w:w="1276" w:type="dxa"/>
            <w:vMerge w:val="restart"/>
            <w:vAlign w:val="bottom"/>
          </w:tcPr>
          <w:p w:rsidR="00AE19A3" w:rsidRPr="00AE19A3" w:rsidRDefault="00AE19A3" w:rsidP="006D084F">
            <w:pPr>
              <w:pStyle w:val="Sansinterligne"/>
              <w:jc w:val="center"/>
              <w:rPr>
                <w:i/>
                <w:lang w:val="en-US"/>
              </w:rPr>
            </w:pPr>
            <w:r w:rsidRPr="00AE19A3">
              <w:rPr>
                <w:i/>
                <w:lang w:val="en-US"/>
              </w:rPr>
              <w:t>LOGICIELS</w:t>
            </w:r>
          </w:p>
          <w:p w:rsidR="00AE19A3" w:rsidRDefault="00AE19A3" w:rsidP="006D084F">
            <w:pPr>
              <w:pStyle w:val="Sansinterligne"/>
              <w:jc w:val="center"/>
            </w:pPr>
          </w:p>
        </w:tc>
        <w:tc>
          <w:tcPr>
            <w:tcW w:w="4065" w:type="dxa"/>
          </w:tcPr>
          <w:p w:rsidR="00AE19A3" w:rsidRPr="00BE438B" w:rsidRDefault="00AE19A3" w:rsidP="00AF351B">
            <w:pPr>
              <w:pStyle w:val="Sansinterligne"/>
              <w:rPr>
                <w:szCs w:val="22"/>
                <w:lang w:val="en-US"/>
              </w:rPr>
            </w:pPr>
            <w:r w:rsidRPr="00AE19A3">
              <w:rPr>
                <w:szCs w:val="22"/>
                <w:lang w:val="en-US"/>
              </w:rPr>
              <w:t>Word, Power point, Excel</w:t>
            </w:r>
          </w:p>
        </w:tc>
      </w:tr>
      <w:tr w:rsidR="00BE438B" w:rsidRPr="00AE19A3" w:rsidTr="006D084F">
        <w:trPr>
          <w:trHeight w:val="320"/>
        </w:trPr>
        <w:tc>
          <w:tcPr>
            <w:tcW w:w="2376" w:type="dxa"/>
            <w:vMerge/>
          </w:tcPr>
          <w:p w:rsidR="00AE19A3" w:rsidRPr="003A1F28" w:rsidRDefault="00AE19A3" w:rsidP="00AF351B">
            <w:pPr>
              <w:pStyle w:val="Sansinterligne"/>
              <w:rPr>
                <w:i/>
              </w:rPr>
            </w:pPr>
          </w:p>
        </w:tc>
        <w:tc>
          <w:tcPr>
            <w:tcW w:w="3544" w:type="dxa"/>
          </w:tcPr>
          <w:p w:rsidR="00AE19A3" w:rsidRPr="003A1F28" w:rsidRDefault="00AE19A3" w:rsidP="00AF351B">
            <w:pPr>
              <w:pStyle w:val="Sansinterligne"/>
              <w:rPr>
                <w:i/>
              </w:rPr>
            </w:pPr>
            <w:r>
              <w:t>Espagnol : Niveau scolaire</w:t>
            </w:r>
          </w:p>
        </w:tc>
        <w:tc>
          <w:tcPr>
            <w:tcW w:w="1276" w:type="dxa"/>
            <w:vMerge/>
          </w:tcPr>
          <w:p w:rsidR="00AE19A3" w:rsidRPr="003A1F28" w:rsidRDefault="00AE19A3" w:rsidP="00AF351B">
            <w:pPr>
              <w:pStyle w:val="Sansinterligne"/>
              <w:rPr>
                <w:i/>
              </w:rPr>
            </w:pPr>
          </w:p>
        </w:tc>
        <w:tc>
          <w:tcPr>
            <w:tcW w:w="4065" w:type="dxa"/>
          </w:tcPr>
          <w:p w:rsidR="00AE19A3" w:rsidRPr="00AE19A3" w:rsidRDefault="00AE19A3" w:rsidP="00AF351B">
            <w:pPr>
              <w:pStyle w:val="Sansinterligne"/>
              <w:rPr>
                <w:i/>
                <w:lang w:val="en-US"/>
              </w:rPr>
            </w:pPr>
            <w:proofErr w:type="spellStart"/>
            <w:r w:rsidRPr="00DC4B48">
              <w:rPr>
                <w:szCs w:val="22"/>
                <w:lang w:val="en-US"/>
              </w:rPr>
              <w:t>Flovent</w:t>
            </w:r>
            <w:proofErr w:type="spellEnd"/>
            <w:r w:rsidRPr="00DC4B48">
              <w:rPr>
                <w:szCs w:val="22"/>
                <w:lang w:val="en-US"/>
              </w:rPr>
              <w:t xml:space="preserve"> (simulation CFD), </w:t>
            </w:r>
            <w:proofErr w:type="spellStart"/>
            <w:r w:rsidRPr="00DC4B48">
              <w:rPr>
                <w:szCs w:val="22"/>
                <w:lang w:val="en-US"/>
              </w:rPr>
              <w:t>Matlab</w:t>
            </w:r>
            <w:proofErr w:type="spellEnd"/>
            <w:r w:rsidRPr="00DC4B48">
              <w:rPr>
                <w:szCs w:val="22"/>
                <w:lang w:val="en-US"/>
              </w:rPr>
              <w:t xml:space="preserve">, </w:t>
            </w:r>
            <w:proofErr w:type="spellStart"/>
            <w:r w:rsidRPr="00DC4B48">
              <w:rPr>
                <w:szCs w:val="22"/>
                <w:lang w:val="en-US"/>
              </w:rPr>
              <w:t>Autocad</w:t>
            </w:r>
            <w:proofErr w:type="spellEnd"/>
          </w:p>
        </w:tc>
      </w:tr>
    </w:tbl>
    <w:p w:rsidR="00817A1B" w:rsidRPr="009D4157" w:rsidRDefault="00817A1B" w:rsidP="00AF351B">
      <w:pPr>
        <w:pStyle w:val="Sansinterligne"/>
        <w:rPr>
          <w:sz w:val="4"/>
          <w:szCs w:val="4"/>
          <w:lang w:val="en-US"/>
        </w:rPr>
      </w:pPr>
    </w:p>
    <w:tbl>
      <w:tblPr>
        <w:tblStyle w:val="Grilledutableau"/>
        <w:tblW w:w="0" w:type="auto"/>
        <w:tblBorders>
          <w:top w:val="none" w:sz="0" w:space="0" w:color="auto"/>
          <w:left w:val="single" w:sz="24" w:space="0" w:color="92CDDC" w:themeColor="accent5" w:themeTint="99"/>
          <w:bottom w:val="single" w:sz="24" w:space="0" w:color="92CDDC" w:themeColor="accent5" w:themeTint="99"/>
          <w:right w:val="none" w:sz="0" w:space="0" w:color="auto"/>
          <w:insideH w:val="none" w:sz="0" w:space="0" w:color="auto"/>
          <w:insideV w:val="none" w:sz="0" w:space="0" w:color="auto"/>
        </w:tblBorders>
        <w:tblLook w:val="04A0" w:firstRow="1" w:lastRow="0" w:firstColumn="1" w:lastColumn="0" w:noHBand="0" w:noVBand="1"/>
      </w:tblPr>
      <w:tblGrid>
        <w:gridCol w:w="11252"/>
      </w:tblGrid>
      <w:tr w:rsidR="00DC4B48" w:rsidTr="00ED1623">
        <w:tc>
          <w:tcPr>
            <w:tcW w:w="11252" w:type="dxa"/>
          </w:tcPr>
          <w:p w:rsidR="00DC4B48" w:rsidRPr="00DC4B48" w:rsidRDefault="00DC4B48" w:rsidP="00AF351B">
            <w:pPr>
              <w:pStyle w:val="Sansinterligne"/>
              <w:rPr>
                <w:szCs w:val="22"/>
                <w:lang w:val="en-US"/>
              </w:rPr>
            </w:pPr>
            <w:r w:rsidRPr="00DC4B48">
              <w:rPr>
                <w:noProof/>
                <w:szCs w:val="22"/>
                <w:lang w:eastAsia="fr-FR"/>
              </w:rPr>
              <w:drawing>
                <wp:inline distT="0" distB="0" distL="0" distR="0">
                  <wp:extent cx="172336" cy="172336"/>
                  <wp:effectExtent l="19050" t="0" r="0" b="0"/>
                  <wp:docPr id="13" name="Image 1" descr="Résultat de recherche d'images pour &quot;logo etoile simp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etoile simple&quot;"/>
                          <pic:cNvPicPr>
                            <a:picLocks noChangeAspect="1" noChangeArrowheads="1"/>
                          </pic:cNvPicPr>
                        </pic:nvPicPr>
                        <pic:blipFill>
                          <a:blip r:embed="rId11" cstate="print"/>
                          <a:srcRect/>
                          <a:stretch>
                            <a:fillRect/>
                          </a:stretch>
                        </pic:blipFill>
                        <pic:spPr bwMode="auto">
                          <a:xfrm>
                            <a:off x="0" y="0"/>
                            <a:ext cx="180597" cy="180597"/>
                          </a:xfrm>
                          <a:prstGeom prst="rect">
                            <a:avLst/>
                          </a:prstGeom>
                          <a:noFill/>
                          <a:ln w="9525">
                            <a:noFill/>
                            <a:miter lim="800000"/>
                            <a:headEnd/>
                            <a:tailEnd/>
                          </a:ln>
                        </pic:spPr>
                      </pic:pic>
                    </a:graphicData>
                  </a:graphic>
                </wp:inline>
              </w:drawing>
            </w:r>
            <w:r w:rsidRPr="00DC4B48">
              <w:rPr>
                <w:b/>
                <w:szCs w:val="22"/>
              </w:rPr>
              <w:t xml:space="preserve"> LOISIRS</w:t>
            </w:r>
          </w:p>
        </w:tc>
      </w:tr>
    </w:tbl>
    <w:p w:rsidR="00DC4B48" w:rsidRPr="009B4699" w:rsidRDefault="00DC4B48" w:rsidP="00AF351B">
      <w:pPr>
        <w:pStyle w:val="Sansinterligne"/>
        <w:rPr>
          <w:sz w:val="16"/>
          <w:szCs w:val="16"/>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0"/>
        <w:gridCol w:w="9517"/>
      </w:tblGrid>
      <w:tr w:rsidR="00DC4B48" w:rsidRPr="00113949" w:rsidTr="006D084F">
        <w:trPr>
          <w:trHeight w:val="105"/>
        </w:trPr>
        <w:tc>
          <w:tcPr>
            <w:tcW w:w="1790" w:type="dxa"/>
          </w:tcPr>
          <w:p w:rsidR="00DC4B48" w:rsidRPr="003A1F28" w:rsidRDefault="00DC4B48" w:rsidP="00D0598D">
            <w:pPr>
              <w:tabs>
                <w:tab w:val="left" w:pos="-284"/>
              </w:tabs>
              <w:rPr>
                <w:b/>
                <w:szCs w:val="22"/>
              </w:rPr>
            </w:pPr>
            <w:r w:rsidRPr="003A1F28">
              <w:rPr>
                <w:b/>
                <w:szCs w:val="22"/>
              </w:rPr>
              <w:t>Intérêts</w:t>
            </w:r>
          </w:p>
        </w:tc>
        <w:tc>
          <w:tcPr>
            <w:tcW w:w="9517" w:type="dxa"/>
          </w:tcPr>
          <w:p w:rsidR="00DC4B48" w:rsidRPr="003A1F28" w:rsidRDefault="00DC4B48" w:rsidP="009B4699">
            <w:pPr>
              <w:tabs>
                <w:tab w:val="left" w:pos="-284"/>
              </w:tabs>
              <w:jc w:val="both"/>
              <w:rPr>
                <w:szCs w:val="22"/>
              </w:rPr>
            </w:pPr>
            <w:r w:rsidRPr="003A1F28">
              <w:rPr>
                <w:szCs w:val="22"/>
              </w:rPr>
              <w:t xml:space="preserve">Vélo, fitness, </w:t>
            </w:r>
            <w:r w:rsidR="00CC0F47" w:rsidRPr="003A1F28">
              <w:rPr>
                <w:szCs w:val="22"/>
              </w:rPr>
              <w:t>badminton</w:t>
            </w:r>
            <w:r w:rsidR="00A57E51">
              <w:rPr>
                <w:szCs w:val="22"/>
              </w:rPr>
              <w:t xml:space="preserve"> (pratique pendant 3 ans)</w:t>
            </w:r>
            <w:r w:rsidR="00CC0F47" w:rsidRPr="003A1F28">
              <w:rPr>
                <w:szCs w:val="22"/>
              </w:rPr>
              <w:t xml:space="preserve">, </w:t>
            </w:r>
            <w:r w:rsidRPr="003A1F28">
              <w:rPr>
                <w:szCs w:val="22"/>
              </w:rPr>
              <w:t>voyages</w:t>
            </w:r>
          </w:p>
        </w:tc>
      </w:tr>
      <w:tr w:rsidR="00DC4B48" w:rsidRPr="00113949" w:rsidTr="006D084F">
        <w:trPr>
          <w:trHeight w:val="598"/>
        </w:trPr>
        <w:tc>
          <w:tcPr>
            <w:tcW w:w="1790" w:type="dxa"/>
          </w:tcPr>
          <w:p w:rsidR="00DC4B48" w:rsidRPr="003A1F28" w:rsidRDefault="00DC4B48" w:rsidP="00D0598D">
            <w:pPr>
              <w:tabs>
                <w:tab w:val="left" w:pos="-284"/>
              </w:tabs>
              <w:rPr>
                <w:b/>
                <w:szCs w:val="22"/>
              </w:rPr>
            </w:pPr>
            <w:r w:rsidRPr="003A1F28">
              <w:rPr>
                <w:b/>
                <w:szCs w:val="22"/>
              </w:rPr>
              <w:t>Vie associative</w:t>
            </w:r>
          </w:p>
        </w:tc>
        <w:tc>
          <w:tcPr>
            <w:tcW w:w="9517" w:type="dxa"/>
          </w:tcPr>
          <w:p w:rsidR="006D084F" w:rsidRPr="003A1F28" w:rsidRDefault="00DE3F88" w:rsidP="00DE3F88">
            <w:pPr>
              <w:tabs>
                <w:tab w:val="left" w:pos="-284"/>
              </w:tabs>
              <w:jc w:val="both"/>
              <w:rPr>
                <w:szCs w:val="22"/>
              </w:rPr>
            </w:pPr>
            <w:r>
              <w:rPr>
                <w:szCs w:val="22"/>
              </w:rPr>
              <w:t xml:space="preserve">Bénévole de l’association « A manger pour tous ». </w:t>
            </w:r>
            <w:r w:rsidR="00DC4B48" w:rsidRPr="003A1F28">
              <w:rPr>
                <w:szCs w:val="22"/>
              </w:rPr>
              <w:t>Préparation et</w:t>
            </w:r>
            <w:r w:rsidR="00531C11">
              <w:rPr>
                <w:szCs w:val="22"/>
              </w:rPr>
              <w:t xml:space="preserve"> distribution de repas aux sans-</w:t>
            </w:r>
            <w:r w:rsidR="00A57E51">
              <w:rPr>
                <w:szCs w:val="22"/>
              </w:rPr>
              <w:t>abris (pour plus de 3</w:t>
            </w:r>
            <w:r w:rsidR="00DC4B48" w:rsidRPr="003A1F28">
              <w:rPr>
                <w:szCs w:val="22"/>
              </w:rPr>
              <w:t>00 personnes)</w:t>
            </w:r>
          </w:p>
        </w:tc>
      </w:tr>
    </w:tbl>
    <w:p w:rsidR="006D084F" w:rsidRPr="00757EF1" w:rsidRDefault="006D084F" w:rsidP="00757EF1">
      <w:pPr>
        <w:rPr>
          <w:sz w:val="2"/>
          <w:szCs w:val="2"/>
        </w:rPr>
      </w:pPr>
    </w:p>
    <w:sectPr w:rsidR="006D084F" w:rsidRPr="00757EF1" w:rsidSect="00A078C0">
      <w:pgSz w:w="11906" w:h="16838"/>
      <w:pgMar w:top="397" w:right="397" w:bottom="397"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8228F"/>
    <w:multiLevelType w:val="hybridMultilevel"/>
    <w:tmpl w:val="0FFECCE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7CC57D2"/>
    <w:multiLevelType w:val="hybridMultilevel"/>
    <w:tmpl w:val="942861C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E5D300E"/>
    <w:multiLevelType w:val="hybridMultilevel"/>
    <w:tmpl w:val="747AEC5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5A5464A"/>
    <w:multiLevelType w:val="hybridMultilevel"/>
    <w:tmpl w:val="84DEC91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A078C0"/>
    <w:rsid w:val="000F7C41"/>
    <w:rsid w:val="00115908"/>
    <w:rsid w:val="00235C51"/>
    <w:rsid w:val="00260F1A"/>
    <w:rsid w:val="002D36BC"/>
    <w:rsid w:val="002E6509"/>
    <w:rsid w:val="0030359E"/>
    <w:rsid w:val="00317D78"/>
    <w:rsid w:val="00323AD1"/>
    <w:rsid w:val="00325318"/>
    <w:rsid w:val="00377618"/>
    <w:rsid w:val="003A1F28"/>
    <w:rsid w:val="003D7907"/>
    <w:rsid w:val="00450C11"/>
    <w:rsid w:val="004F1586"/>
    <w:rsid w:val="004F4DF4"/>
    <w:rsid w:val="00507DBB"/>
    <w:rsid w:val="005258C9"/>
    <w:rsid w:val="00530C7B"/>
    <w:rsid w:val="00531C11"/>
    <w:rsid w:val="00537853"/>
    <w:rsid w:val="005B6E8A"/>
    <w:rsid w:val="00645B55"/>
    <w:rsid w:val="00654B89"/>
    <w:rsid w:val="00660E1D"/>
    <w:rsid w:val="006730AB"/>
    <w:rsid w:val="00684D5D"/>
    <w:rsid w:val="00687FB0"/>
    <w:rsid w:val="00694AC9"/>
    <w:rsid w:val="0069718D"/>
    <w:rsid w:val="006A7955"/>
    <w:rsid w:val="006B3CA6"/>
    <w:rsid w:val="006D084F"/>
    <w:rsid w:val="006E7938"/>
    <w:rsid w:val="00703A92"/>
    <w:rsid w:val="00704F34"/>
    <w:rsid w:val="007175C8"/>
    <w:rsid w:val="0074147E"/>
    <w:rsid w:val="00745B67"/>
    <w:rsid w:val="00757EF1"/>
    <w:rsid w:val="0078220A"/>
    <w:rsid w:val="00817A1B"/>
    <w:rsid w:val="00825512"/>
    <w:rsid w:val="008655BF"/>
    <w:rsid w:val="00894984"/>
    <w:rsid w:val="008A4249"/>
    <w:rsid w:val="008E3A79"/>
    <w:rsid w:val="00915BCA"/>
    <w:rsid w:val="0096537C"/>
    <w:rsid w:val="0098771B"/>
    <w:rsid w:val="009B4699"/>
    <w:rsid w:val="009D4157"/>
    <w:rsid w:val="00A078C0"/>
    <w:rsid w:val="00A35229"/>
    <w:rsid w:val="00A57E51"/>
    <w:rsid w:val="00A861F9"/>
    <w:rsid w:val="00AD1766"/>
    <w:rsid w:val="00AE19A3"/>
    <w:rsid w:val="00AF100A"/>
    <w:rsid w:val="00AF351B"/>
    <w:rsid w:val="00B342F8"/>
    <w:rsid w:val="00B35F06"/>
    <w:rsid w:val="00BB0A74"/>
    <w:rsid w:val="00BD5EBA"/>
    <w:rsid w:val="00BE438B"/>
    <w:rsid w:val="00C3787C"/>
    <w:rsid w:val="00C4710F"/>
    <w:rsid w:val="00C57955"/>
    <w:rsid w:val="00C66940"/>
    <w:rsid w:val="00C66D14"/>
    <w:rsid w:val="00C67867"/>
    <w:rsid w:val="00C70FC3"/>
    <w:rsid w:val="00C77E90"/>
    <w:rsid w:val="00CA3725"/>
    <w:rsid w:val="00CC0F47"/>
    <w:rsid w:val="00CF02BA"/>
    <w:rsid w:val="00CF21BB"/>
    <w:rsid w:val="00D51686"/>
    <w:rsid w:val="00D60157"/>
    <w:rsid w:val="00DC4B48"/>
    <w:rsid w:val="00DE3F88"/>
    <w:rsid w:val="00DF1098"/>
    <w:rsid w:val="00E12587"/>
    <w:rsid w:val="00E75955"/>
    <w:rsid w:val="00EC56CA"/>
    <w:rsid w:val="00ED1623"/>
    <w:rsid w:val="00EF452B"/>
    <w:rsid w:val="00EF78BD"/>
    <w:rsid w:val="00F23EDD"/>
    <w:rsid w:val="00F4047E"/>
    <w:rsid w:val="00F84A94"/>
    <w:rsid w:val="00FB632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7"/>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5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078C0"/>
    <w:pPr>
      <w:spacing w:after="0" w:line="240" w:lineRule="auto"/>
    </w:pPr>
  </w:style>
  <w:style w:type="table" w:styleId="Grilledutableau">
    <w:name w:val="Table Grid"/>
    <w:basedOn w:val="TableauNormal"/>
    <w:uiPriority w:val="59"/>
    <w:rsid w:val="00C57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57955"/>
    <w:rPr>
      <w:color w:val="0000FF" w:themeColor="hyperlink"/>
      <w:u w:val="single"/>
    </w:rPr>
  </w:style>
  <w:style w:type="paragraph" w:styleId="Textedebulles">
    <w:name w:val="Balloon Text"/>
    <w:basedOn w:val="Normal"/>
    <w:link w:val="TextedebullesCar"/>
    <w:uiPriority w:val="99"/>
    <w:semiHidden/>
    <w:unhideWhenUsed/>
    <w:rsid w:val="00AF35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351B"/>
    <w:rPr>
      <w:rFonts w:ascii="Tahoma" w:hAnsi="Tahoma" w:cs="Tahoma"/>
      <w:sz w:val="16"/>
      <w:szCs w:val="16"/>
    </w:rPr>
  </w:style>
  <w:style w:type="paragraph" w:styleId="Paragraphedeliste">
    <w:name w:val="List Paragraph"/>
    <w:basedOn w:val="Normal"/>
    <w:uiPriority w:val="34"/>
    <w:qFormat/>
    <w:rsid w:val="00EC56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file:///C:\Users\moi\Desktop\celine.yanasik@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509</Words>
  <Characters>2800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Nurdan</cp:lastModifiedBy>
  <cp:revision>32</cp:revision>
  <dcterms:created xsi:type="dcterms:W3CDTF">2016-06-20T12:49:00Z</dcterms:created>
  <dcterms:modified xsi:type="dcterms:W3CDTF">2016-08-19T08:44:00Z</dcterms:modified>
</cp:coreProperties>
</file>